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421092" w14:textId="77777777" w:rsidR="001F5F3F" w:rsidRPr="001F5F3F" w:rsidRDefault="001F5F3F" w:rsidP="001F5F3F">
      <w:r w:rsidRPr="001F5F3F">
        <w:t>Below are the provisional results of attainment and progress for our last academic year. </w:t>
      </w:r>
    </w:p>
    <w:p w14:paraId="318297FE" w14:textId="77777777" w:rsidR="001F5F3F" w:rsidRPr="001F5F3F" w:rsidRDefault="001F5F3F" w:rsidP="001F5F3F">
      <w:r w:rsidRPr="001F5F3F">
        <w:rPr>
          <w:b/>
          <w:bCs/>
        </w:rPr>
        <w:t xml:space="preserve">Key Stage 2 Outcomes at </w:t>
      </w:r>
      <w:proofErr w:type="spellStart"/>
      <w:r w:rsidRPr="001F5F3F">
        <w:rPr>
          <w:b/>
          <w:bCs/>
        </w:rPr>
        <w:t>Stivichall</w:t>
      </w:r>
      <w:proofErr w:type="spellEnd"/>
      <w:r w:rsidRPr="001F5F3F">
        <w:rPr>
          <w:b/>
          <w:bCs/>
        </w:rPr>
        <w:t xml:space="preserve"> Primary School 2022-23</w:t>
      </w:r>
    </w:p>
    <w:p w14:paraId="7A0DB4ED" w14:textId="77777777" w:rsidR="001F5F3F" w:rsidRPr="001F5F3F" w:rsidRDefault="001F5F3F" w:rsidP="001F5F3F">
      <w:r w:rsidRPr="001F5F3F">
        <w:rPr>
          <w:b/>
          <w:bCs/>
        </w:rPr>
        <w:t xml:space="preserve">Attainment and Achievement </w:t>
      </w:r>
    </w:p>
    <w:p w14:paraId="7AE2D723" w14:textId="77777777" w:rsidR="001F5F3F" w:rsidRPr="001F5F3F" w:rsidRDefault="001F5F3F" w:rsidP="001F5F3F">
      <w:r w:rsidRPr="001F5F3F">
        <w:t>In May 2023, our Year 6 pupils undertook statutory end of Key Stage 2 assessments (SATs) in reading, maths and grammar, punctuation and spelling (GPS).  Writing was teacher assessed using the 2019 revised writing TA frameworks.</w:t>
      </w:r>
    </w:p>
    <w:p w14:paraId="6B646168" w14:textId="77777777" w:rsidR="001F5F3F" w:rsidRPr="001F5F3F" w:rsidRDefault="001F5F3F" w:rsidP="001F5F3F">
      <w:r w:rsidRPr="001F5F3F">
        <w:t>To reach the expected standard in all of reading, writing and maths, a pupil must achieve a scaled score of 100 or more in reading and maths tests and an outcome of ‘working at the expected standard’ or ‘working at greater depth’ in writing TA.</w:t>
      </w:r>
    </w:p>
    <w:p w14:paraId="04F9D130" w14:textId="77777777" w:rsidR="001F5F3F" w:rsidRPr="001F5F3F" w:rsidRDefault="001F5F3F" w:rsidP="001F5F3F">
      <w:r w:rsidRPr="001F5F3F">
        <w:rPr>
          <w:b/>
          <w:bCs/>
        </w:rPr>
        <w:t>Attainment: expected standard </w:t>
      </w:r>
    </w:p>
    <w:p w14:paraId="7EDAE265" w14:textId="77777777" w:rsidR="001F5F3F" w:rsidRPr="001F5F3F" w:rsidRDefault="001F5F3F" w:rsidP="001F5F3F">
      <w:r w:rsidRPr="001F5F3F">
        <w:t>In 2023, 78% of our pupils achieved the expected standard in Reading, Writing and Maths, combined (compared with 59% nationally)</w:t>
      </w:r>
    </w:p>
    <w:p w14:paraId="2E2C333B" w14:textId="77777777" w:rsidR="001F5F3F" w:rsidRPr="001F5F3F" w:rsidRDefault="001F5F3F" w:rsidP="001F5F3F">
      <w:r w:rsidRPr="001F5F3F">
        <w:t>• Reading: 87% meeting expected standards (compared with 73% nationally)</w:t>
      </w:r>
    </w:p>
    <w:p w14:paraId="70B61FB2" w14:textId="77777777" w:rsidR="001F5F3F" w:rsidRPr="001F5F3F" w:rsidRDefault="001F5F3F" w:rsidP="001F5F3F">
      <w:r w:rsidRPr="001F5F3F">
        <w:t>• Writing: 85% meeting expected standards (compared with 71% nationally)</w:t>
      </w:r>
    </w:p>
    <w:p w14:paraId="15EAD186" w14:textId="77777777" w:rsidR="001F5F3F" w:rsidRPr="001F5F3F" w:rsidRDefault="001F5F3F" w:rsidP="001F5F3F">
      <w:r w:rsidRPr="001F5F3F">
        <w:rPr>
          <w:rFonts w:ascii="MS Gothic" w:eastAsia="MS Gothic" w:hAnsi="MS Gothic" w:cs="MS Gothic" w:hint="eastAsia"/>
        </w:rPr>
        <w:t> </w:t>
      </w:r>
      <w:r w:rsidRPr="001F5F3F">
        <w:rPr>
          <w:rFonts w:ascii="Aptos" w:hAnsi="Aptos" w:cs="Aptos"/>
        </w:rPr>
        <w:t>•</w:t>
      </w:r>
      <w:r w:rsidRPr="001F5F3F">
        <w:t xml:space="preserve"> Grammar, Punctuation and Spelling: 85% meeting expected standards (compared with 72% nationally)</w:t>
      </w:r>
    </w:p>
    <w:p w14:paraId="6C74BDD8" w14:textId="77777777" w:rsidR="001F5F3F" w:rsidRPr="001F5F3F" w:rsidRDefault="001F5F3F" w:rsidP="001F5F3F">
      <w:r w:rsidRPr="001F5F3F">
        <w:rPr>
          <w:rFonts w:ascii="MS Gothic" w:eastAsia="MS Gothic" w:hAnsi="MS Gothic" w:cs="MS Gothic" w:hint="eastAsia"/>
        </w:rPr>
        <w:t> </w:t>
      </w:r>
      <w:r w:rsidRPr="001F5F3F">
        <w:rPr>
          <w:rFonts w:ascii="Aptos" w:hAnsi="Aptos" w:cs="Aptos"/>
        </w:rPr>
        <w:t>•</w:t>
      </w:r>
      <w:r w:rsidRPr="001F5F3F">
        <w:t xml:space="preserve"> Maths: 89% meeting expected standards (compared with 73% nationally)</w:t>
      </w:r>
    </w:p>
    <w:p w14:paraId="55A40233" w14:textId="77777777" w:rsidR="001F5F3F" w:rsidRPr="001F5F3F" w:rsidRDefault="001F5F3F" w:rsidP="001F5F3F">
      <w:r w:rsidRPr="001F5F3F">
        <w:rPr>
          <w:b/>
          <w:bCs/>
        </w:rPr>
        <w:t>Scaled scores</w:t>
      </w:r>
    </w:p>
    <w:p w14:paraId="0FF54CC0" w14:textId="77777777" w:rsidR="001F5F3F" w:rsidRPr="001F5F3F" w:rsidRDefault="001F5F3F" w:rsidP="001F5F3F">
      <w:r w:rsidRPr="001F5F3F">
        <w:t>TBC</w:t>
      </w:r>
    </w:p>
    <w:p w14:paraId="508E1CA5" w14:textId="77777777" w:rsidR="001F5F3F" w:rsidRPr="001F5F3F" w:rsidRDefault="001F5F3F" w:rsidP="001F5F3F">
      <w:r w:rsidRPr="001F5F3F">
        <w:rPr>
          <w:b/>
          <w:bCs/>
        </w:rPr>
        <w:t>Attainment: higher standard </w:t>
      </w:r>
    </w:p>
    <w:p w14:paraId="76EDB6F0" w14:textId="77777777" w:rsidR="001F5F3F" w:rsidRPr="001F5F3F" w:rsidRDefault="001F5F3F" w:rsidP="001F5F3F">
      <w:r w:rsidRPr="001F5F3F">
        <w:t>Scaled scores of over 110 are considered ‘high scores’ in Reading, Maths and GPS. Writing is assessed using Writing TA framework and is judged to be ‘greater depth’ standard when criteria are evidenced through independent writing. </w:t>
      </w:r>
    </w:p>
    <w:p w14:paraId="188FFC97" w14:textId="77777777" w:rsidR="001F5F3F" w:rsidRPr="001F5F3F" w:rsidRDefault="001F5F3F" w:rsidP="001F5F3F">
      <w:r w:rsidRPr="001F5F3F">
        <w:t>15% of our pupils achieved a high level of attainment in combined Reading, Writing and Maths (compared with 8% nationally).</w:t>
      </w:r>
    </w:p>
    <w:p w14:paraId="66D9F9CE" w14:textId="77777777" w:rsidR="001F5F3F" w:rsidRPr="001F5F3F" w:rsidRDefault="001F5F3F" w:rsidP="001F5F3F">
      <w:r w:rsidRPr="001F5F3F">
        <w:t>• Reading: 44% higher standard (compared with 29% nationally)</w:t>
      </w:r>
    </w:p>
    <w:p w14:paraId="53514294" w14:textId="77777777" w:rsidR="001F5F3F" w:rsidRPr="001F5F3F" w:rsidRDefault="001F5F3F" w:rsidP="001F5F3F">
      <w:r w:rsidRPr="001F5F3F">
        <w:t>• Writing: 18% greater depth standard (compared with 13% nationally)</w:t>
      </w:r>
    </w:p>
    <w:p w14:paraId="6F74136F" w14:textId="77777777" w:rsidR="001F5F3F" w:rsidRPr="001F5F3F" w:rsidRDefault="001F5F3F" w:rsidP="001F5F3F">
      <w:r w:rsidRPr="001F5F3F">
        <w:t>• Grammar, Punctuation and Spelling: 39% higher standard (compared with 30% nationally)</w:t>
      </w:r>
    </w:p>
    <w:p w14:paraId="531A8A33" w14:textId="77777777" w:rsidR="001F5F3F" w:rsidRPr="001F5F3F" w:rsidRDefault="001F5F3F" w:rsidP="001F5F3F">
      <w:r w:rsidRPr="001F5F3F">
        <w:t>• Maths: 37% higher standard (compared with 24% nationally).</w:t>
      </w:r>
    </w:p>
    <w:p w14:paraId="3C34B08D" w14:textId="77777777" w:rsidR="001F5F3F" w:rsidRPr="001F5F3F" w:rsidRDefault="001F5F3F" w:rsidP="001F5F3F">
      <w:r w:rsidRPr="001F5F3F">
        <w:rPr>
          <w:b/>
          <w:bCs/>
        </w:rPr>
        <w:t>Progress </w:t>
      </w:r>
    </w:p>
    <w:p w14:paraId="4C65EBE3" w14:textId="77777777" w:rsidR="001F5F3F" w:rsidRPr="001F5F3F" w:rsidRDefault="001F5F3F" w:rsidP="001F5F3F">
      <w:r w:rsidRPr="001F5F3F">
        <w:lastRenderedPageBreak/>
        <w:t>The Department for Education measures progress from Key Stage 1 (KS1) to Key Stage 2 (KS2). Expected progress is zero, with anything above that being better than expected and negative numbers showing less than expected progress.</w:t>
      </w:r>
    </w:p>
    <w:p w14:paraId="7D17350F" w14:textId="77777777" w:rsidR="001F5F3F" w:rsidRPr="001F5F3F" w:rsidRDefault="001F5F3F" w:rsidP="001F5F3F">
      <w:r w:rsidRPr="001F5F3F">
        <w:t>•  +2.35 average progress in Reading</w:t>
      </w:r>
    </w:p>
    <w:p w14:paraId="7E5B793B" w14:textId="77777777" w:rsidR="001F5F3F" w:rsidRPr="001F5F3F" w:rsidRDefault="001F5F3F" w:rsidP="001F5F3F">
      <w:r w:rsidRPr="001F5F3F">
        <w:t>•  +1.36 average progress in Writing</w:t>
      </w:r>
    </w:p>
    <w:p w14:paraId="1646C525" w14:textId="77777777" w:rsidR="001F5F3F" w:rsidRPr="001F5F3F" w:rsidRDefault="001F5F3F" w:rsidP="001F5F3F">
      <w:r w:rsidRPr="001F5F3F">
        <w:t>•  +1.52 average progress in Maths</w:t>
      </w:r>
    </w:p>
    <w:p w14:paraId="3405E7E5" w14:textId="77777777" w:rsidR="001F5F3F" w:rsidRPr="001F5F3F" w:rsidRDefault="001F5F3F" w:rsidP="001F5F3F">
      <w:r w:rsidRPr="001F5F3F">
        <w:t xml:space="preserve">Overall, we are delighted that outcomes at </w:t>
      </w:r>
      <w:proofErr w:type="spellStart"/>
      <w:r w:rsidRPr="001F5F3F">
        <w:t>Stivichall</w:t>
      </w:r>
      <w:proofErr w:type="spellEnd"/>
      <w:r w:rsidRPr="001F5F3F">
        <w:t xml:space="preserve"> for both attainment and progress remain higher than national and exceed local authority outcomes reflecting the excellent learning behaviours of our pupils </w:t>
      </w:r>
      <w:proofErr w:type="gramStart"/>
      <w:r w:rsidRPr="001F5F3F">
        <w:t>and  the</w:t>
      </w:r>
      <w:proofErr w:type="gramEnd"/>
      <w:r w:rsidRPr="001F5F3F">
        <w:t xml:space="preserve"> dedication of our staff. The data is presented in a table below.</w:t>
      </w:r>
    </w:p>
    <w:tbl>
      <w:tblPr>
        <w:tblW w:w="0" w:type="auto"/>
        <w:tblCellSpacing w:w="15" w:type="dxa"/>
        <w:tblBorders>
          <w:top w:val="single" w:sz="8" w:space="0" w:color="auto"/>
          <w:left w:val="single" w:sz="8" w:space="0" w:color="auto"/>
          <w:bottom w:val="single" w:sz="8" w:space="0" w:color="auto"/>
          <w:right w:val="single" w:sz="8" w:space="0" w:color="auto"/>
        </w:tblBorders>
        <w:tblCellMar>
          <w:top w:w="15" w:type="dxa"/>
          <w:left w:w="15" w:type="dxa"/>
          <w:bottom w:w="15" w:type="dxa"/>
          <w:right w:w="15" w:type="dxa"/>
        </w:tblCellMar>
        <w:tblLook w:val="04A0" w:firstRow="1" w:lastRow="0" w:firstColumn="1" w:lastColumn="0" w:noHBand="0" w:noVBand="1"/>
      </w:tblPr>
      <w:tblGrid>
        <w:gridCol w:w="3270"/>
        <w:gridCol w:w="2895"/>
        <w:gridCol w:w="1245"/>
        <w:gridCol w:w="1260"/>
      </w:tblGrid>
      <w:tr w:rsidR="001F5F3F" w:rsidRPr="001F5F3F" w14:paraId="47FBA7A0" w14:textId="77777777" w:rsidTr="001F5F3F">
        <w:trPr>
          <w:tblCellSpacing w:w="15" w:type="dxa"/>
        </w:trPr>
        <w:tc>
          <w:tcPr>
            <w:tcW w:w="3225" w:type="dxa"/>
            <w:tcBorders>
              <w:top w:val="outset" w:sz="6" w:space="0" w:color="auto"/>
              <w:left w:val="outset" w:sz="6" w:space="0" w:color="auto"/>
              <w:bottom w:val="outset" w:sz="6" w:space="0" w:color="auto"/>
              <w:right w:val="outset" w:sz="6" w:space="0" w:color="auto"/>
            </w:tcBorders>
            <w:vAlign w:val="center"/>
            <w:hideMark/>
          </w:tcPr>
          <w:p w14:paraId="619E12A8" w14:textId="77777777" w:rsidR="001F5F3F" w:rsidRPr="001F5F3F" w:rsidRDefault="001F5F3F" w:rsidP="001F5F3F">
            <w:r w:rsidRPr="001F5F3F">
              <w:t>Measure</w:t>
            </w:r>
          </w:p>
        </w:tc>
        <w:tc>
          <w:tcPr>
            <w:tcW w:w="2865" w:type="dxa"/>
            <w:tcBorders>
              <w:top w:val="outset" w:sz="6" w:space="0" w:color="auto"/>
              <w:left w:val="outset" w:sz="6" w:space="0" w:color="auto"/>
              <w:bottom w:val="outset" w:sz="6" w:space="0" w:color="auto"/>
              <w:right w:val="outset" w:sz="6" w:space="0" w:color="auto"/>
            </w:tcBorders>
            <w:vAlign w:val="center"/>
            <w:hideMark/>
          </w:tcPr>
          <w:p w14:paraId="083EA867" w14:textId="77777777" w:rsidR="001F5F3F" w:rsidRPr="001F5F3F" w:rsidRDefault="001F5F3F" w:rsidP="001F5F3F">
            <w:r w:rsidRPr="001F5F3F">
              <w:t>Subject</w:t>
            </w:r>
          </w:p>
        </w:tc>
        <w:tc>
          <w:tcPr>
            <w:tcW w:w="1215" w:type="dxa"/>
            <w:tcBorders>
              <w:top w:val="outset" w:sz="6" w:space="0" w:color="auto"/>
              <w:left w:val="outset" w:sz="6" w:space="0" w:color="auto"/>
              <w:bottom w:val="outset" w:sz="6" w:space="0" w:color="auto"/>
              <w:right w:val="outset" w:sz="6" w:space="0" w:color="auto"/>
            </w:tcBorders>
            <w:vAlign w:val="center"/>
            <w:hideMark/>
          </w:tcPr>
          <w:p w14:paraId="66CF2413" w14:textId="77777777" w:rsidR="001F5F3F" w:rsidRPr="001F5F3F" w:rsidRDefault="001F5F3F" w:rsidP="001F5F3F">
            <w:r w:rsidRPr="001F5F3F">
              <w:t>School</w:t>
            </w:r>
          </w:p>
        </w:tc>
        <w:tc>
          <w:tcPr>
            <w:tcW w:w="1215" w:type="dxa"/>
            <w:tcBorders>
              <w:top w:val="outset" w:sz="6" w:space="0" w:color="auto"/>
              <w:left w:val="outset" w:sz="6" w:space="0" w:color="auto"/>
              <w:bottom w:val="outset" w:sz="6" w:space="0" w:color="auto"/>
              <w:right w:val="outset" w:sz="6" w:space="0" w:color="auto"/>
            </w:tcBorders>
            <w:vAlign w:val="center"/>
            <w:hideMark/>
          </w:tcPr>
          <w:p w14:paraId="33A7D0A2" w14:textId="77777777" w:rsidR="001F5F3F" w:rsidRPr="001F5F3F" w:rsidRDefault="001F5F3F" w:rsidP="001F5F3F">
            <w:r w:rsidRPr="001F5F3F">
              <w:t>National</w:t>
            </w:r>
          </w:p>
        </w:tc>
      </w:tr>
      <w:tr w:rsidR="001F5F3F" w:rsidRPr="001F5F3F" w14:paraId="2818E531" w14:textId="77777777" w:rsidTr="001F5F3F">
        <w:trPr>
          <w:tblCellSpacing w:w="15" w:type="dxa"/>
        </w:trPr>
        <w:tc>
          <w:tcPr>
            <w:tcW w:w="3225" w:type="dxa"/>
            <w:vMerge w:val="restart"/>
            <w:tcBorders>
              <w:top w:val="outset" w:sz="6" w:space="0" w:color="auto"/>
              <w:left w:val="outset" w:sz="6" w:space="0" w:color="auto"/>
              <w:bottom w:val="outset" w:sz="6" w:space="0" w:color="auto"/>
              <w:right w:val="outset" w:sz="6" w:space="0" w:color="auto"/>
            </w:tcBorders>
            <w:vAlign w:val="center"/>
            <w:hideMark/>
          </w:tcPr>
          <w:p w14:paraId="1C5A77A0" w14:textId="77777777" w:rsidR="001F5F3F" w:rsidRPr="001F5F3F" w:rsidRDefault="001F5F3F" w:rsidP="001F5F3F">
            <w:r w:rsidRPr="001F5F3F">
              <w:t>Average Progress Scores</w:t>
            </w:r>
          </w:p>
        </w:tc>
        <w:tc>
          <w:tcPr>
            <w:tcW w:w="2865" w:type="dxa"/>
            <w:tcBorders>
              <w:top w:val="outset" w:sz="6" w:space="0" w:color="auto"/>
              <w:left w:val="outset" w:sz="6" w:space="0" w:color="auto"/>
              <w:bottom w:val="outset" w:sz="6" w:space="0" w:color="auto"/>
              <w:right w:val="outset" w:sz="6" w:space="0" w:color="auto"/>
            </w:tcBorders>
            <w:vAlign w:val="center"/>
            <w:hideMark/>
          </w:tcPr>
          <w:p w14:paraId="55ABE813" w14:textId="77777777" w:rsidR="001F5F3F" w:rsidRPr="001F5F3F" w:rsidRDefault="001F5F3F" w:rsidP="001F5F3F">
            <w:r w:rsidRPr="001F5F3F">
              <w:t>Reading</w:t>
            </w:r>
          </w:p>
        </w:tc>
        <w:tc>
          <w:tcPr>
            <w:tcW w:w="1215" w:type="dxa"/>
            <w:tcBorders>
              <w:top w:val="outset" w:sz="6" w:space="0" w:color="auto"/>
              <w:left w:val="outset" w:sz="6" w:space="0" w:color="auto"/>
              <w:bottom w:val="outset" w:sz="6" w:space="0" w:color="auto"/>
              <w:right w:val="outset" w:sz="6" w:space="0" w:color="auto"/>
            </w:tcBorders>
            <w:vAlign w:val="center"/>
            <w:hideMark/>
          </w:tcPr>
          <w:p w14:paraId="3EF30E86" w14:textId="77777777" w:rsidR="001F5F3F" w:rsidRPr="001F5F3F" w:rsidRDefault="001F5F3F" w:rsidP="001F5F3F">
            <w:r w:rsidRPr="001F5F3F">
              <w:t>+2.35</w:t>
            </w:r>
          </w:p>
        </w:tc>
        <w:tc>
          <w:tcPr>
            <w:tcW w:w="1215" w:type="dxa"/>
            <w:tcBorders>
              <w:top w:val="outset" w:sz="6" w:space="0" w:color="auto"/>
              <w:left w:val="outset" w:sz="6" w:space="0" w:color="auto"/>
              <w:bottom w:val="outset" w:sz="6" w:space="0" w:color="auto"/>
              <w:right w:val="outset" w:sz="6" w:space="0" w:color="auto"/>
            </w:tcBorders>
            <w:vAlign w:val="center"/>
            <w:hideMark/>
          </w:tcPr>
          <w:p w14:paraId="0D80FA8F" w14:textId="77777777" w:rsidR="001F5F3F" w:rsidRPr="001F5F3F" w:rsidRDefault="001F5F3F" w:rsidP="001F5F3F">
            <w:r w:rsidRPr="001F5F3F">
              <w:t>0</w:t>
            </w:r>
          </w:p>
        </w:tc>
      </w:tr>
      <w:tr w:rsidR="001F5F3F" w:rsidRPr="001F5F3F" w14:paraId="3469B4B1" w14:textId="77777777" w:rsidTr="001F5F3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E1D46D7" w14:textId="77777777" w:rsidR="001F5F3F" w:rsidRPr="001F5F3F" w:rsidRDefault="001F5F3F" w:rsidP="001F5F3F"/>
        </w:tc>
        <w:tc>
          <w:tcPr>
            <w:tcW w:w="2865" w:type="dxa"/>
            <w:tcBorders>
              <w:top w:val="outset" w:sz="6" w:space="0" w:color="auto"/>
              <w:left w:val="outset" w:sz="6" w:space="0" w:color="auto"/>
              <w:bottom w:val="outset" w:sz="6" w:space="0" w:color="auto"/>
              <w:right w:val="outset" w:sz="6" w:space="0" w:color="auto"/>
            </w:tcBorders>
            <w:vAlign w:val="center"/>
            <w:hideMark/>
          </w:tcPr>
          <w:p w14:paraId="24338F3B" w14:textId="77777777" w:rsidR="001F5F3F" w:rsidRPr="001F5F3F" w:rsidRDefault="001F5F3F" w:rsidP="001F5F3F">
            <w:r w:rsidRPr="001F5F3F">
              <w:t>Writing</w:t>
            </w:r>
          </w:p>
        </w:tc>
        <w:tc>
          <w:tcPr>
            <w:tcW w:w="1215" w:type="dxa"/>
            <w:tcBorders>
              <w:top w:val="outset" w:sz="6" w:space="0" w:color="auto"/>
              <w:left w:val="outset" w:sz="6" w:space="0" w:color="auto"/>
              <w:bottom w:val="outset" w:sz="6" w:space="0" w:color="auto"/>
              <w:right w:val="outset" w:sz="6" w:space="0" w:color="auto"/>
            </w:tcBorders>
            <w:vAlign w:val="center"/>
            <w:hideMark/>
          </w:tcPr>
          <w:p w14:paraId="690A9E34" w14:textId="77777777" w:rsidR="001F5F3F" w:rsidRPr="001F5F3F" w:rsidRDefault="001F5F3F" w:rsidP="001F5F3F">
            <w:r w:rsidRPr="001F5F3F">
              <w:t>+1.36</w:t>
            </w:r>
          </w:p>
        </w:tc>
        <w:tc>
          <w:tcPr>
            <w:tcW w:w="1215" w:type="dxa"/>
            <w:tcBorders>
              <w:top w:val="outset" w:sz="6" w:space="0" w:color="auto"/>
              <w:left w:val="outset" w:sz="6" w:space="0" w:color="auto"/>
              <w:bottom w:val="outset" w:sz="6" w:space="0" w:color="auto"/>
              <w:right w:val="outset" w:sz="6" w:space="0" w:color="auto"/>
            </w:tcBorders>
            <w:vAlign w:val="center"/>
            <w:hideMark/>
          </w:tcPr>
          <w:p w14:paraId="57640D93" w14:textId="77777777" w:rsidR="001F5F3F" w:rsidRPr="001F5F3F" w:rsidRDefault="001F5F3F" w:rsidP="001F5F3F">
            <w:r w:rsidRPr="001F5F3F">
              <w:t>0</w:t>
            </w:r>
          </w:p>
        </w:tc>
      </w:tr>
      <w:tr w:rsidR="001F5F3F" w:rsidRPr="001F5F3F" w14:paraId="598B8A60" w14:textId="77777777" w:rsidTr="001F5F3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645C08B" w14:textId="77777777" w:rsidR="001F5F3F" w:rsidRPr="001F5F3F" w:rsidRDefault="001F5F3F" w:rsidP="001F5F3F"/>
        </w:tc>
        <w:tc>
          <w:tcPr>
            <w:tcW w:w="2865" w:type="dxa"/>
            <w:tcBorders>
              <w:top w:val="outset" w:sz="6" w:space="0" w:color="auto"/>
              <w:left w:val="outset" w:sz="6" w:space="0" w:color="auto"/>
              <w:bottom w:val="outset" w:sz="6" w:space="0" w:color="auto"/>
              <w:right w:val="outset" w:sz="6" w:space="0" w:color="auto"/>
            </w:tcBorders>
            <w:vAlign w:val="center"/>
            <w:hideMark/>
          </w:tcPr>
          <w:p w14:paraId="4CF870F5" w14:textId="77777777" w:rsidR="001F5F3F" w:rsidRPr="001F5F3F" w:rsidRDefault="001F5F3F" w:rsidP="001F5F3F">
            <w:r w:rsidRPr="001F5F3F">
              <w:t>Maths</w:t>
            </w:r>
          </w:p>
        </w:tc>
        <w:tc>
          <w:tcPr>
            <w:tcW w:w="1215" w:type="dxa"/>
            <w:tcBorders>
              <w:top w:val="outset" w:sz="6" w:space="0" w:color="auto"/>
              <w:left w:val="outset" w:sz="6" w:space="0" w:color="auto"/>
              <w:bottom w:val="outset" w:sz="6" w:space="0" w:color="auto"/>
              <w:right w:val="outset" w:sz="6" w:space="0" w:color="auto"/>
            </w:tcBorders>
            <w:vAlign w:val="center"/>
            <w:hideMark/>
          </w:tcPr>
          <w:p w14:paraId="72124663" w14:textId="77777777" w:rsidR="001F5F3F" w:rsidRPr="001F5F3F" w:rsidRDefault="001F5F3F" w:rsidP="001F5F3F">
            <w:r w:rsidRPr="001F5F3F">
              <w:t>+1.52</w:t>
            </w:r>
          </w:p>
        </w:tc>
        <w:tc>
          <w:tcPr>
            <w:tcW w:w="1215" w:type="dxa"/>
            <w:tcBorders>
              <w:top w:val="outset" w:sz="6" w:space="0" w:color="auto"/>
              <w:left w:val="outset" w:sz="6" w:space="0" w:color="auto"/>
              <w:bottom w:val="outset" w:sz="6" w:space="0" w:color="auto"/>
              <w:right w:val="outset" w:sz="6" w:space="0" w:color="auto"/>
            </w:tcBorders>
            <w:vAlign w:val="center"/>
            <w:hideMark/>
          </w:tcPr>
          <w:p w14:paraId="42232692" w14:textId="77777777" w:rsidR="001F5F3F" w:rsidRPr="001F5F3F" w:rsidRDefault="001F5F3F" w:rsidP="001F5F3F">
            <w:r w:rsidRPr="001F5F3F">
              <w:t>0</w:t>
            </w:r>
          </w:p>
        </w:tc>
      </w:tr>
      <w:tr w:rsidR="001F5F3F" w:rsidRPr="001F5F3F" w14:paraId="0DFA2370" w14:textId="77777777" w:rsidTr="001F5F3F">
        <w:trPr>
          <w:tblCellSpacing w:w="15" w:type="dxa"/>
        </w:trPr>
        <w:tc>
          <w:tcPr>
            <w:tcW w:w="3225" w:type="dxa"/>
            <w:vMerge w:val="restart"/>
            <w:tcBorders>
              <w:top w:val="outset" w:sz="6" w:space="0" w:color="auto"/>
              <w:left w:val="outset" w:sz="6" w:space="0" w:color="auto"/>
              <w:bottom w:val="outset" w:sz="6" w:space="0" w:color="auto"/>
              <w:right w:val="outset" w:sz="6" w:space="0" w:color="auto"/>
            </w:tcBorders>
            <w:vAlign w:val="center"/>
            <w:hideMark/>
          </w:tcPr>
          <w:p w14:paraId="59486ED3" w14:textId="77777777" w:rsidR="001F5F3F" w:rsidRPr="001F5F3F" w:rsidRDefault="001F5F3F" w:rsidP="001F5F3F">
            <w:r w:rsidRPr="001F5F3F">
              <w:t>Average ‘scaled scores’</w:t>
            </w:r>
          </w:p>
        </w:tc>
        <w:tc>
          <w:tcPr>
            <w:tcW w:w="2865" w:type="dxa"/>
            <w:tcBorders>
              <w:top w:val="outset" w:sz="6" w:space="0" w:color="auto"/>
              <w:left w:val="outset" w:sz="6" w:space="0" w:color="auto"/>
              <w:bottom w:val="outset" w:sz="6" w:space="0" w:color="auto"/>
              <w:right w:val="outset" w:sz="6" w:space="0" w:color="auto"/>
            </w:tcBorders>
            <w:vAlign w:val="center"/>
            <w:hideMark/>
          </w:tcPr>
          <w:p w14:paraId="4AD06859" w14:textId="77777777" w:rsidR="001F5F3F" w:rsidRPr="001F5F3F" w:rsidRDefault="001F5F3F" w:rsidP="001F5F3F">
            <w:proofErr w:type="spellStart"/>
            <w:proofErr w:type="gramStart"/>
            <w:r w:rsidRPr="001F5F3F">
              <w:t>Grammar,Punctuation</w:t>
            </w:r>
            <w:proofErr w:type="spellEnd"/>
            <w:proofErr w:type="gramEnd"/>
            <w:r w:rsidRPr="001F5F3F">
              <w:t xml:space="preserve"> and Spelling</w:t>
            </w:r>
          </w:p>
        </w:tc>
        <w:tc>
          <w:tcPr>
            <w:tcW w:w="1215" w:type="dxa"/>
            <w:tcBorders>
              <w:top w:val="outset" w:sz="6" w:space="0" w:color="auto"/>
              <w:left w:val="outset" w:sz="6" w:space="0" w:color="auto"/>
              <w:bottom w:val="outset" w:sz="6" w:space="0" w:color="auto"/>
              <w:right w:val="outset" w:sz="6" w:space="0" w:color="auto"/>
            </w:tcBorders>
            <w:vAlign w:val="center"/>
            <w:hideMark/>
          </w:tcPr>
          <w:p w14:paraId="383FF40D" w14:textId="77777777" w:rsidR="001F5F3F" w:rsidRPr="001F5F3F" w:rsidRDefault="001F5F3F" w:rsidP="001F5F3F">
            <w:r w:rsidRPr="001F5F3F">
              <w:t>TBC</w:t>
            </w:r>
          </w:p>
        </w:tc>
        <w:tc>
          <w:tcPr>
            <w:tcW w:w="1215" w:type="dxa"/>
            <w:tcBorders>
              <w:top w:val="outset" w:sz="6" w:space="0" w:color="auto"/>
              <w:left w:val="outset" w:sz="6" w:space="0" w:color="auto"/>
              <w:bottom w:val="outset" w:sz="6" w:space="0" w:color="auto"/>
              <w:right w:val="outset" w:sz="6" w:space="0" w:color="auto"/>
            </w:tcBorders>
            <w:vAlign w:val="center"/>
            <w:hideMark/>
          </w:tcPr>
          <w:p w14:paraId="088268C6" w14:textId="77777777" w:rsidR="001F5F3F" w:rsidRPr="001F5F3F" w:rsidRDefault="001F5F3F" w:rsidP="001F5F3F">
            <w:r w:rsidRPr="001F5F3F">
              <w:t>TBC</w:t>
            </w:r>
          </w:p>
        </w:tc>
      </w:tr>
      <w:tr w:rsidR="001F5F3F" w:rsidRPr="001F5F3F" w14:paraId="3666F63F" w14:textId="77777777" w:rsidTr="001F5F3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02E394F" w14:textId="77777777" w:rsidR="001F5F3F" w:rsidRPr="001F5F3F" w:rsidRDefault="001F5F3F" w:rsidP="001F5F3F"/>
        </w:tc>
        <w:tc>
          <w:tcPr>
            <w:tcW w:w="2865" w:type="dxa"/>
            <w:tcBorders>
              <w:top w:val="outset" w:sz="6" w:space="0" w:color="auto"/>
              <w:left w:val="outset" w:sz="6" w:space="0" w:color="auto"/>
              <w:bottom w:val="outset" w:sz="6" w:space="0" w:color="auto"/>
              <w:right w:val="outset" w:sz="6" w:space="0" w:color="auto"/>
            </w:tcBorders>
            <w:vAlign w:val="center"/>
            <w:hideMark/>
          </w:tcPr>
          <w:p w14:paraId="18595954" w14:textId="77777777" w:rsidR="001F5F3F" w:rsidRPr="001F5F3F" w:rsidRDefault="001F5F3F" w:rsidP="001F5F3F">
            <w:r w:rsidRPr="001F5F3F">
              <w:t>Reading</w:t>
            </w:r>
          </w:p>
        </w:tc>
        <w:tc>
          <w:tcPr>
            <w:tcW w:w="1215" w:type="dxa"/>
            <w:tcBorders>
              <w:top w:val="outset" w:sz="6" w:space="0" w:color="auto"/>
              <w:left w:val="outset" w:sz="6" w:space="0" w:color="auto"/>
              <w:bottom w:val="outset" w:sz="6" w:space="0" w:color="auto"/>
              <w:right w:val="outset" w:sz="6" w:space="0" w:color="auto"/>
            </w:tcBorders>
            <w:vAlign w:val="center"/>
            <w:hideMark/>
          </w:tcPr>
          <w:p w14:paraId="36C4A5E3" w14:textId="77777777" w:rsidR="001F5F3F" w:rsidRPr="001F5F3F" w:rsidRDefault="001F5F3F" w:rsidP="001F5F3F">
            <w:r w:rsidRPr="001F5F3F">
              <w:t>TBC</w:t>
            </w:r>
          </w:p>
        </w:tc>
        <w:tc>
          <w:tcPr>
            <w:tcW w:w="1215" w:type="dxa"/>
            <w:tcBorders>
              <w:top w:val="outset" w:sz="6" w:space="0" w:color="auto"/>
              <w:left w:val="outset" w:sz="6" w:space="0" w:color="auto"/>
              <w:bottom w:val="outset" w:sz="6" w:space="0" w:color="auto"/>
              <w:right w:val="outset" w:sz="6" w:space="0" w:color="auto"/>
            </w:tcBorders>
            <w:vAlign w:val="center"/>
            <w:hideMark/>
          </w:tcPr>
          <w:p w14:paraId="311CBC0C" w14:textId="77777777" w:rsidR="001F5F3F" w:rsidRPr="001F5F3F" w:rsidRDefault="001F5F3F" w:rsidP="001F5F3F">
            <w:r w:rsidRPr="001F5F3F">
              <w:t>TBC</w:t>
            </w:r>
          </w:p>
        </w:tc>
      </w:tr>
      <w:tr w:rsidR="001F5F3F" w:rsidRPr="001F5F3F" w14:paraId="2BC3BF2B" w14:textId="77777777" w:rsidTr="001F5F3F">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7019938" w14:textId="77777777" w:rsidR="001F5F3F" w:rsidRPr="001F5F3F" w:rsidRDefault="001F5F3F" w:rsidP="001F5F3F"/>
        </w:tc>
        <w:tc>
          <w:tcPr>
            <w:tcW w:w="2865" w:type="dxa"/>
            <w:tcBorders>
              <w:top w:val="outset" w:sz="6" w:space="0" w:color="auto"/>
              <w:left w:val="outset" w:sz="6" w:space="0" w:color="auto"/>
              <w:bottom w:val="outset" w:sz="6" w:space="0" w:color="auto"/>
              <w:right w:val="outset" w:sz="6" w:space="0" w:color="auto"/>
            </w:tcBorders>
            <w:vAlign w:val="center"/>
            <w:hideMark/>
          </w:tcPr>
          <w:p w14:paraId="035FB404" w14:textId="77777777" w:rsidR="001F5F3F" w:rsidRPr="001F5F3F" w:rsidRDefault="001F5F3F" w:rsidP="001F5F3F">
            <w:r w:rsidRPr="001F5F3F">
              <w:t>Maths</w:t>
            </w:r>
          </w:p>
        </w:tc>
        <w:tc>
          <w:tcPr>
            <w:tcW w:w="1215" w:type="dxa"/>
            <w:tcBorders>
              <w:top w:val="outset" w:sz="6" w:space="0" w:color="auto"/>
              <w:left w:val="outset" w:sz="6" w:space="0" w:color="auto"/>
              <w:bottom w:val="outset" w:sz="6" w:space="0" w:color="auto"/>
              <w:right w:val="outset" w:sz="6" w:space="0" w:color="auto"/>
            </w:tcBorders>
            <w:vAlign w:val="center"/>
            <w:hideMark/>
          </w:tcPr>
          <w:p w14:paraId="0989B98D" w14:textId="77777777" w:rsidR="001F5F3F" w:rsidRPr="001F5F3F" w:rsidRDefault="001F5F3F" w:rsidP="001F5F3F">
            <w:r w:rsidRPr="001F5F3F">
              <w:t>TBC</w:t>
            </w:r>
          </w:p>
        </w:tc>
        <w:tc>
          <w:tcPr>
            <w:tcW w:w="1215" w:type="dxa"/>
            <w:tcBorders>
              <w:top w:val="outset" w:sz="6" w:space="0" w:color="auto"/>
              <w:left w:val="outset" w:sz="6" w:space="0" w:color="auto"/>
              <w:bottom w:val="outset" w:sz="6" w:space="0" w:color="auto"/>
              <w:right w:val="outset" w:sz="6" w:space="0" w:color="auto"/>
            </w:tcBorders>
            <w:vAlign w:val="center"/>
            <w:hideMark/>
          </w:tcPr>
          <w:p w14:paraId="039FFD44" w14:textId="77777777" w:rsidR="001F5F3F" w:rsidRPr="001F5F3F" w:rsidRDefault="001F5F3F" w:rsidP="001F5F3F">
            <w:r w:rsidRPr="001F5F3F">
              <w:t>TBC</w:t>
            </w:r>
          </w:p>
        </w:tc>
      </w:tr>
    </w:tbl>
    <w:p w14:paraId="4D988A9F" w14:textId="77777777" w:rsidR="00454268" w:rsidRDefault="00454268"/>
    <w:sectPr w:rsidR="004542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F3F"/>
    <w:rsid w:val="001F5F3F"/>
    <w:rsid w:val="00454268"/>
    <w:rsid w:val="00AA046E"/>
    <w:rsid w:val="00C21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04A0"/>
  <w15:chartTrackingRefBased/>
  <w15:docId w15:val="{F9B65D40-5C2E-4A42-9F3A-2318AAD6F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F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5F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5F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F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F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F3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F3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F3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F3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F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5F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5F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F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F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F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F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F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F3F"/>
    <w:rPr>
      <w:rFonts w:eastAsiaTheme="majorEastAsia" w:cstheme="majorBidi"/>
      <w:color w:val="272727" w:themeColor="text1" w:themeTint="D8"/>
    </w:rPr>
  </w:style>
  <w:style w:type="paragraph" w:styleId="Title">
    <w:name w:val="Title"/>
    <w:basedOn w:val="Normal"/>
    <w:next w:val="Normal"/>
    <w:link w:val="TitleChar"/>
    <w:uiPriority w:val="10"/>
    <w:qFormat/>
    <w:rsid w:val="001F5F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F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F3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F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F3F"/>
    <w:pPr>
      <w:spacing w:before="160"/>
      <w:jc w:val="center"/>
    </w:pPr>
    <w:rPr>
      <w:i/>
      <w:iCs/>
      <w:color w:val="404040" w:themeColor="text1" w:themeTint="BF"/>
    </w:rPr>
  </w:style>
  <w:style w:type="character" w:customStyle="1" w:styleId="QuoteChar">
    <w:name w:val="Quote Char"/>
    <w:basedOn w:val="DefaultParagraphFont"/>
    <w:link w:val="Quote"/>
    <w:uiPriority w:val="29"/>
    <w:rsid w:val="001F5F3F"/>
    <w:rPr>
      <w:i/>
      <w:iCs/>
      <w:color w:val="404040" w:themeColor="text1" w:themeTint="BF"/>
    </w:rPr>
  </w:style>
  <w:style w:type="paragraph" w:styleId="ListParagraph">
    <w:name w:val="List Paragraph"/>
    <w:basedOn w:val="Normal"/>
    <w:uiPriority w:val="34"/>
    <w:qFormat/>
    <w:rsid w:val="001F5F3F"/>
    <w:pPr>
      <w:ind w:left="720"/>
      <w:contextualSpacing/>
    </w:pPr>
  </w:style>
  <w:style w:type="character" w:styleId="IntenseEmphasis">
    <w:name w:val="Intense Emphasis"/>
    <w:basedOn w:val="DefaultParagraphFont"/>
    <w:uiPriority w:val="21"/>
    <w:qFormat/>
    <w:rsid w:val="001F5F3F"/>
    <w:rPr>
      <w:i/>
      <w:iCs/>
      <w:color w:val="0F4761" w:themeColor="accent1" w:themeShade="BF"/>
    </w:rPr>
  </w:style>
  <w:style w:type="paragraph" w:styleId="IntenseQuote">
    <w:name w:val="Intense Quote"/>
    <w:basedOn w:val="Normal"/>
    <w:next w:val="Normal"/>
    <w:link w:val="IntenseQuoteChar"/>
    <w:uiPriority w:val="30"/>
    <w:qFormat/>
    <w:rsid w:val="001F5F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F3F"/>
    <w:rPr>
      <w:i/>
      <w:iCs/>
      <w:color w:val="0F4761" w:themeColor="accent1" w:themeShade="BF"/>
    </w:rPr>
  </w:style>
  <w:style w:type="character" w:styleId="IntenseReference">
    <w:name w:val="Intense Reference"/>
    <w:basedOn w:val="DefaultParagraphFont"/>
    <w:uiPriority w:val="32"/>
    <w:qFormat/>
    <w:rsid w:val="001F5F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79866712">
      <w:bodyDiv w:val="1"/>
      <w:marLeft w:val="0"/>
      <w:marRight w:val="0"/>
      <w:marTop w:val="0"/>
      <w:marBottom w:val="0"/>
      <w:divBdr>
        <w:top w:val="none" w:sz="0" w:space="0" w:color="auto"/>
        <w:left w:val="none" w:sz="0" w:space="0" w:color="auto"/>
        <w:bottom w:val="none" w:sz="0" w:space="0" w:color="auto"/>
        <w:right w:val="none" w:sz="0" w:space="0" w:color="auto"/>
      </w:divBdr>
    </w:div>
    <w:div w:id="179366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395</Words>
  <Characters>2256</Characters>
  <Application>Microsoft Office Word</Application>
  <DocSecurity>0</DocSecurity>
  <Lines>18</Lines>
  <Paragraphs>5</Paragraphs>
  <ScaleCrop>false</ScaleCrop>
  <Company/>
  <LinksUpToDate>false</LinksUpToDate>
  <CharactersWithSpaces>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Gould</dc:creator>
  <cp:keywords/>
  <dc:description/>
  <cp:lastModifiedBy>Richard Gould</cp:lastModifiedBy>
  <cp:revision>1</cp:revision>
  <dcterms:created xsi:type="dcterms:W3CDTF">2024-09-30T13:41:00Z</dcterms:created>
  <dcterms:modified xsi:type="dcterms:W3CDTF">2024-09-30T13:42:00Z</dcterms:modified>
</cp:coreProperties>
</file>